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ducation musicale</w:t>
      </w:r>
    </w:p>
    <w:p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PROGRESSION ANNUELLE</w:t>
      </w:r>
    </w:p>
    <w:p>
      <w:pPr>
        <w:pStyle w:val="Corps"/>
        <w:jc w:val="center"/>
        <w:rPr>
          <w:sz w:val="24"/>
          <w:szCs w:val="24"/>
        </w:rPr>
      </w:pPr>
    </w:p>
    <w:p>
      <w:pPr>
        <w:pStyle w:val="Corps"/>
        <w:jc w:val="right"/>
        <w:rPr>
          <w:b w:val="1"/>
          <w:bCs w:val="1"/>
          <w:sz w:val="24"/>
          <w:szCs w:val="24"/>
        </w:rPr>
        <w:sectPr>
          <w:headerReference w:type="default" r:id="rId4"/>
          <w:footerReference w:type="default" r:id="rId5"/>
          <w:pgSz w:w="16840" w:h="23820" w:orient="portrait"/>
          <w:pgMar w:top="1134" w:right="1134" w:bottom="1134" w:left="1134" w:header="709" w:footer="850"/>
          <w:cols w:num="3" w:equalWidth="0">
            <w:col w:w="3668" w:space="283"/>
            <w:col w:w="6669" w:space="283"/>
            <w:col w:w="3668" w:space="0"/>
          </w:cols>
          <w:bidi w:val="0"/>
        </w:sectPr>
      </w:pPr>
      <w:r>
        <w:rPr>
          <w:b w:val="1"/>
          <w:bCs w:val="1"/>
          <w:sz w:val="24"/>
          <w:szCs w:val="24"/>
          <w:rtl w:val="0"/>
          <w:lang w:val="fr-FR"/>
        </w:rPr>
        <w:t>Cycle III</w:t>
      </w:r>
      <w:r>
        <w:rPr>
          <w:b w:val="1"/>
          <w:bCs w:val="1"/>
          <w:sz w:val="24"/>
          <w:szCs w:val="24"/>
        </w:rPr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83"/>
        <w:gridCol w:w="2677"/>
        <w:gridCol w:w="2677"/>
        <w:gridCol w:w="2676"/>
        <w:gridCol w:w="2677"/>
        <w:gridCol w:w="267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1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2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3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4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Sujet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Probl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ma-tique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Projet Musical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Oeuvre de ref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rence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2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Oeuvres compl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-mentaires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484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C1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Chanter et interpr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</w:rPr>
              <w:t>ter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484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C2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couter, comparer et commenter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484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C3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Explorer, imaginer et cr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</w:rPr>
              <w:t>er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484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  <w:rPr>
                <w:sz w:val="18"/>
                <w:szCs w:val="18"/>
              </w:rPr>
            </w:pPr>
            <w:r>
              <w:rPr>
                <w:rStyle w:val="Aucun"/>
                <w:b w:val="1"/>
                <w:bCs w:val="1"/>
                <w:sz w:val="18"/>
                <w:szCs w:val="18"/>
                <w:rtl w:val="0"/>
                <w:lang w:val="fr-FR"/>
              </w:rPr>
              <w:t>C4 :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</w:pP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changer, partager et argumenter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Domaine du geste vocal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Domaine des styles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Domaines compl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men-taires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Socle commun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Histoire des arts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Num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rique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Croisement entre disciplines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Attendus de fin de cycle</w:t>
            </w:r>
          </w:p>
        </w:tc>
        <w:tc>
          <w:tcPr>
            <w:tcW w:type="dxa" w:w="1338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 Identifier, choisir et mobiliser les techniques vocales et corporelles au service du sens et de 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expression.</w:t>
            </w:r>
          </w:p>
          <w:p>
            <w:pPr>
              <w:pStyle w:val="Style de tableau 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 Mettre en lien des caract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ristiques musicales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’œ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uvres diff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rentes, les nommer et les pr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senter en lien avec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autres savoirs construits par les enseignements. - Explorer les sons de la voix et de son environnement, imaginer des utilisations musicales, cr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er des organisations dans le temps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un ensemble de sons 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lectionn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s.</w:t>
            </w:r>
          </w:p>
          <w:p>
            <w:pPr>
              <w:pStyle w:val="Style de tableau 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velopper sa sensibilit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, son esprit critique et 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enrichir de la diversit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é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des go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û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ts personnels et des esth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tiques</w:t>
            </w:r>
          </w:p>
        </w:tc>
      </w:tr>
    </w:tbl>
    <w:p>
      <w:pPr>
        <w:pStyle w:val="Corps"/>
        <w:bidi w:val="0"/>
      </w:pPr>
    </w:p>
    <w:sectPr>
      <w:type w:val="continuous"/>
      <w:pgSz w:w="16840" w:h="2382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